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171854" w:rsidTr="00171854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171854">
              <w:tc>
                <w:tcPr>
                  <w:tcW w:w="1555" w:type="dxa"/>
                  <w:vMerge w:val="restart"/>
                  <w:hideMark/>
                </w:tcPr>
                <w:p w:rsidR="00171854" w:rsidRDefault="00171854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171854" w:rsidRDefault="00171854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171854" w:rsidRDefault="00171854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171854">
              <w:tc>
                <w:tcPr>
                  <w:tcW w:w="1555" w:type="dxa"/>
                  <w:vMerge/>
                  <w:vAlign w:val="center"/>
                  <w:hideMark/>
                </w:tcPr>
                <w:p w:rsidR="00171854" w:rsidRDefault="00171854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171854" w:rsidRDefault="00171854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171854" w:rsidRDefault="00171854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171854" w:rsidRDefault="00171854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71854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171854" w:rsidRDefault="00171854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171854" w:rsidRDefault="00171854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171854" w:rsidRDefault="00171854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71854" w:rsidRDefault="00171854" w:rsidP="00171854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26</w:t>
      </w:r>
      <w:r>
        <w:rPr>
          <w:rFonts w:ascii="Calibri" w:hAnsi="Calibri"/>
          <w:bCs/>
          <w:u w:val="single"/>
        </w:rPr>
        <w:t>/2020</w:t>
      </w:r>
    </w:p>
    <w:p w:rsidR="00171854" w:rsidRDefault="00171854" w:rsidP="00171854">
      <w:pPr>
        <w:jc w:val="center"/>
        <w:rPr>
          <w:rFonts w:ascii="Calibri" w:hAnsi="Calibri"/>
          <w:bCs/>
          <w:u w:val="single"/>
        </w:rPr>
      </w:pPr>
    </w:p>
    <w:p w:rsidR="00171854" w:rsidRDefault="00171854" w:rsidP="00171854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>
        <w:rPr>
          <w:rFonts w:ascii="Calibri" w:hAnsi="Calibri"/>
          <w:bCs/>
        </w:rPr>
        <w:t>ené Radou města Klimkovice dne 30</w:t>
      </w:r>
      <w:bookmarkStart w:id="0" w:name="_GoBack"/>
      <w:bookmarkEnd w:id="0"/>
      <w:r>
        <w:rPr>
          <w:rFonts w:ascii="Calibri" w:hAnsi="Calibri"/>
          <w:bCs/>
        </w:rPr>
        <w:t>. 12. 2020</w:t>
      </w:r>
    </w:p>
    <w:p w:rsidR="00171854" w:rsidRDefault="00171854" w:rsidP="00171854">
      <w:pPr>
        <w:jc w:val="center"/>
        <w:rPr>
          <w:rFonts w:ascii="Calibri" w:hAnsi="Calibri"/>
          <w:bCs/>
        </w:rPr>
      </w:pPr>
    </w:p>
    <w:p w:rsidR="00171854" w:rsidRDefault="00171854" w:rsidP="0017185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>
        <w:rPr>
          <w:rFonts w:ascii="Calibri" w:hAnsi="Calibri"/>
          <w:b/>
          <w:bCs/>
        </w:rPr>
        <w:t>2020 - rozpočtové opatření č. 26</w:t>
      </w:r>
      <w:r>
        <w:rPr>
          <w:rFonts w:ascii="Calibri" w:hAnsi="Calibri"/>
          <w:b/>
          <w:bCs/>
        </w:rPr>
        <w:t>/2020, kterým se:</w:t>
      </w:r>
    </w:p>
    <w:p w:rsidR="00171854" w:rsidRDefault="00171854" w:rsidP="00171854">
      <w:pPr>
        <w:jc w:val="both"/>
        <w:rPr>
          <w:rFonts w:ascii="Calibri" w:hAnsi="Calibri"/>
          <w:sz w:val="22"/>
          <w:szCs w:val="22"/>
        </w:rPr>
      </w:pPr>
    </w:p>
    <w:tbl>
      <w:tblPr>
        <w:tblW w:w="16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9"/>
        <w:gridCol w:w="146"/>
        <w:gridCol w:w="248"/>
        <w:gridCol w:w="1931"/>
      </w:tblGrid>
      <w:tr w:rsidR="00171854" w:rsidTr="00171854">
        <w:trPr>
          <w:trHeight w:val="310"/>
        </w:trPr>
        <w:tc>
          <w:tcPr>
            <w:tcW w:w="14159" w:type="dxa"/>
            <w:noWrap/>
            <w:vAlign w:val="bottom"/>
            <w:hideMark/>
          </w:tcPr>
          <w:tbl>
            <w:tblPr>
              <w:tblW w:w="140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6314"/>
              <w:gridCol w:w="146"/>
              <w:gridCol w:w="248"/>
              <w:gridCol w:w="1931"/>
            </w:tblGrid>
            <w:tr w:rsidR="00171854" w:rsidTr="00171854">
              <w:trPr>
                <w:trHeight w:val="310"/>
              </w:trPr>
              <w:tc>
                <w:tcPr>
                  <w:tcW w:w="11694" w:type="dxa"/>
                  <w:gridSpan w:val="2"/>
                  <w:noWrap/>
                  <w:vAlign w:val="bottom"/>
                  <w:hideMark/>
                </w:tcPr>
                <w:tbl>
                  <w:tblPr>
                    <w:tblW w:w="1155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9"/>
                    <w:gridCol w:w="146"/>
                    <w:gridCol w:w="248"/>
                    <w:gridCol w:w="1931"/>
                  </w:tblGrid>
                  <w:tr w:rsidR="00171854" w:rsidTr="00171854">
                    <w:trPr>
                      <w:trHeight w:val="310"/>
                    </w:trPr>
                    <w:tc>
                      <w:tcPr>
                        <w:tcW w:w="9229" w:type="dxa"/>
                        <w:noWrap/>
                        <w:vAlign w:val="bottom"/>
                      </w:tcPr>
                      <w:tbl>
                        <w:tblPr>
                          <w:tblW w:w="908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2"/>
                          <w:gridCol w:w="812"/>
                          <w:gridCol w:w="5406"/>
                          <w:gridCol w:w="248"/>
                          <w:gridCol w:w="1931"/>
                        </w:tblGrid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1504" w:type="dxa"/>
                              <w:gridSpan w:val="2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  </w:t>
                              </w:r>
                            </w:p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zvyšují příjmy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Částka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171854" w:rsidRPr="00F43623" w:rsidRDefault="00171854" w:rsidP="00171854">
                              <w:pP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43623"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3631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Veřejné osvětlení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62.771,43 Kč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3729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Ostatní nakládání s odpady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7.500,00 Kč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5311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Bezpečnost a veřejný pořádek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81.403,00 Kč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5311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Bezpečnost a veřejný pořádek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4.725,00 Kč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2212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Silnice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749,24 Kč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2221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Provoz veřejné silniční dopravy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1.357,00 Kč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6112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Zastupitelstva obcí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15.000,00 Kč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6171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Činnost místní správy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31.982,56 Kč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Celkem se příjmy zvyšují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205.488,23 Kč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Kč</w:t>
                              </w:r>
                              <w:proofErr w:type="spellEnd"/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1504" w:type="dxa"/>
                              <w:gridSpan w:val="2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  </w:t>
                              </w:r>
                            </w:p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zvyšují výdaje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256" w:lineRule="auto"/>
                                <w:rPr>
                                  <w:rFonts w:asciiTheme="minorHAnsi" w:eastAsia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§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Název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Částka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6409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Ostatní činnosti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j.n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205.488,23  Kč</w:t>
                              </w:r>
                              <w:proofErr w:type="gramEnd"/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2223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Bezpečnost silničního provozu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27.000,00  Kč</w:t>
                              </w:r>
                              <w:proofErr w:type="gramEnd"/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6320</w:t>
                              </w: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5xxx</w:t>
                              </w: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Pojištění funkčně nespecifikované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           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5.010,00 Kč</w:t>
                              </w:r>
                            </w:p>
                          </w:tc>
                        </w:tr>
                        <w:tr w:rsidR="00171854" w:rsidTr="00657446">
                          <w:trPr>
                            <w:trHeight w:val="310"/>
                          </w:trPr>
                          <w:tc>
                            <w:tcPr>
                              <w:tcW w:w="69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2" w:type="dxa"/>
                              <w:noWrap/>
                              <w:vAlign w:val="bottom"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06" w:type="dxa"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Celkem se výdaje zvyšují</w:t>
                              </w:r>
                            </w:p>
                          </w:tc>
                          <w:tc>
                            <w:tcPr>
                              <w:tcW w:w="248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</w:p>
                          </w:tc>
                          <w:tc>
                            <w:tcPr>
                              <w:tcW w:w="1931" w:type="dxa"/>
                              <w:noWrap/>
                              <w:vAlign w:val="bottom"/>
                              <w:hideMark/>
                            </w:tcPr>
                            <w:p w:rsidR="00171854" w:rsidRDefault="00171854" w:rsidP="00171854">
                              <w:pPr>
                                <w:spacing w:line="180" w:lineRule="atLeast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237.498,23 Kč</w:t>
                              </w:r>
                            </w:p>
                          </w:tc>
                        </w:tr>
                      </w:tbl>
                      <w:p w:rsidR="00171854" w:rsidRDefault="00171854" w:rsidP="00171854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  <w:p w:rsidR="00171854" w:rsidRDefault="00171854" w:rsidP="00171854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snižují výdaje</w:t>
                        </w:r>
                      </w:p>
                      <w:p w:rsidR="00171854" w:rsidRDefault="00171854" w:rsidP="00171854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§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  <w:t xml:space="preserve">    Název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  <w:t>Částka</w:t>
                        </w:r>
                      </w:p>
                      <w:p w:rsidR="00171854" w:rsidRDefault="00171854" w:rsidP="00171854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5311      5xxx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ab/>
                          <w:t xml:space="preserve">    </w:t>
                        </w: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Bezpečnost a veřejný </w:t>
                        </w:r>
                        <w:proofErr w:type="gramStart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pořádek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ab/>
                          <w:t xml:space="preserve">                                            o                      27.000,00</w:t>
                        </w:r>
                        <w:proofErr w:type="gramEnd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Kč</w:t>
                        </w:r>
                      </w:p>
                      <w:p w:rsidR="00171854" w:rsidRDefault="00171854" w:rsidP="00171854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5512      5xxx            Požární ochrana – dobrovolná </w:t>
                        </w:r>
                        <w:proofErr w:type="gramStart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část                                                         o                       5.010,00</w:t>
                        </w:r>
                        <w:proofErr w:type="gramEnd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Kč</w:t>
                        </w:r>
                      </w:p>
                      <w:p w:rsidR="00171854" w:rsidRDefault="00171854" w:rsidP="00171854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ab/>
                          <w:t xml:space="preserve">   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Celkem se výdaje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snižují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  <w:t xml:space="preserve">             o                      32.010,00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Kč</w:t>
                        </w:r>
                      </w:p>
                      <w:p w:rsidR="00171854" w:rsidRDefault="00171854" w:rsidP="00171854">
                        <w:pPr>
                          <w:pBdr>
                            <w:bottom w:val="single" w:sz="6" w:space="1" w:color="auto"/>
                          </w:pBd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ab/>
                        </w:r>
                      </w:p>
                      <w:p w:rsidR="00171854" w:rsidRDefault="00171854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6" w:type="dxa"/>
                        <w:vAlign w:val="bottom"/>
                      </w:tcPr>
                      <w:p w:rsidR="00171854" w:rsidRDefault="00171854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171854" w:rsidRDefault="00171854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171854" w:rsidRDefault="00171854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71854" w:rsidRDefault="00171854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171854" w:rsidRDefault="00171854">
                  <w:pPr>
                    <w:spacing w:line="256" w:lineRule="auto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71854" w:rsidRDefault="00171854">
                  <w:pPr>
                    <w:spacing w:line="254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71854" w:rsidRDefault="00171854">
                  <w:pPr>
                    <w:spacing w:line="254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71854" w:rsidTr="00171854">
              <w:trPr>
                <w:trHeight w:val="310"/>
              </w:trPr>
              <w:tc>
                <w:tcPr>
                  <w:tcW w:w="5380" w:type="dxa"/>
                  <w:noWrap/>
                  <w:vAlign w:val="bottom"/>
                </w:tcPr>
                <w:p w:rsidR="00171854" w:rsidRDefault="00171854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314" w:type="dxa"/>
                  <w:noWrap/>
                  <w:vAlign w:val="bottom"/>
                </w:tcPr>
                <w:p w:rsidR="00171854" w:rsidRDefault="00171854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171854" w:rsidRDefault="00171854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171854" w:rsidRDefault="00171854">
                  <w:pPr>
                    <w:spacing w:line="256" w:lineRule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171854" w:rsidRDefault="00171854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71854" w:rsidRDefault="00171854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171854" w:rsidRDefault="00171854">
            <w:pPr>
              <w:spacing w:line="252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171854" w:rsidRDefault="00171854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171854" w:rsidRDefault="00171854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71854" w:rsidTr="00171854">
        <w:trPr>
          <w:trHeight w:val="310"/>
        </w:trPr>
        <w:tc>
          <w:tcPr>
            <w:tcW w:w="14159" w:type="dxa"/>
            <w:noWrap/>
            <w:vAlign w:val="bottom"/>
          </w:tcPr>
          <w:p w:rsidR="00171854" w:rsidRDefault="00171854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171854" w:rsidRDefault="00171854">
            <w:pPr>
              <w:spacing w:line="252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171854" w:rsidRDefault="00171854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171854" w:rsidRDefault="00171854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8D6DE3" w:rsidRPr="00171854" w:rsidRDefault="008D6DE3" w:rsidP="00171854"/>
    <w:sectPr w:rsidR="008D6DE3" w:rsidRPr="0017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54"/>
    <w:rsid w:val="00171854"/>
    <w:rsid w:val="008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41841-4493-46B1-99E7-07373CF0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185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185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8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8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cp:lastPrinted>2021-01-04T13:56:00Z</cp:lastPrinted>
  <dcterms:created xsi:type="dcterms:W3CDTF">2021-01-04T13:52:00Z</dcterms:created>
  <dcterms:modified xsi:type="dcterms:W3CDTF">2021-01-04T13:57:00Z</dcterms:modified>
</cp:coreProperties>
</file>