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37" w:rsidRPr="009C3450" w:rsidRDefault="00D01D37" w:rsidP="00D01D37">
      <w:pPr>
        <w:jc w:val="center"/>
        <w:rPr>
          <w:b/>
          <w:sz w:val="32"/>
          <w:szCs w:val="32"/>
        </w:rPr>
      </w:pPr>
      <w:r w:rsidRPr="009C3450">
        <w:rPr>
          <w:b/>
          <w:sz w:val="32"/>
          <w:szCs w:val="32"/>
        </w:rPr>
        <w:t>Návrh rozp</w:t>
      </w:r>
      <w:r>
        <w:rPr>
          <w:b/>
          <w:sz w:val="32"/>
          <w:szCs w:val="32"/>
        </w:rPr>
        <w:t>očtu města Klimkovic na rok 2020</w:t>
      </w:r>
    </w:p>
    <w:p w:rsidR="00D01D37" w:rsidRDefault="00D01D37" w:rsidP="00D01D37">
      <w:pPr>
        <w:jc w:val="both"/>
      </w:pPr>
      <w:r>
        <w:t>Návrh rozpočtu města na rok</w:t>
      </w:r>
      <w:r w:rsidR="00361213">
        <w:t xml:space="preserve"> 2020 je sestaven jako vyrovnaný</w:t>
      </w:r>
      <w:r>
        <w:t xml:space="preserve">. </w:t>
      </w:r>
    </w:p>
    <w:p w:rsidR="00D01D37" w:rsidRPr="00FF1183" w:rsidRDefault="00D01D37" w:rsidP="00D01D37">
      <w:pPr>
        <w:suppressAutoHyphens/>
        <w:spacing w:after="0" w:line="100" w:lineRule="atLeast"/>
        <w:rPr>
          <w:b/>
          <w:kern w:val="1"/>
          <w:sz w:val="10"/>
          <w:szCs w:val="24"/>
          <w:lang w:eastAsia="ar-SA"/>
        </w:rPr>
      </w:pPr>
    </w:p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0"/>
        <w:gridCol w:w="1884"/>
        <w:gridCol w:w="2652"/>
        <w:gridCol w:w="2137"/>
      </w:tblGrid>
      <w:tr w:rsidR="00D01D37" w:rsidRPr="003612B5" w:rsidTr="00A776D2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1D37" w:rsidRPr="003612B5" w:rsidRDefault="00D01D37" w:rsidP="00A776D2">
            <w:pPr>
              <w:suppressAutoHyphens/>
              <w:spacing w:after="0" w:line="100" w:lineRule="atLeast"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3612B5">
              <w:rPr>
                <w:b/>
                <w:kern w:val="1"/>
                <w:sz w:val="28"/>
                <w:szCs w:val="28"/>
                <w:lang w:eastAsia="ar-SA"/>
              </w:rPr>
              <w:t xml:space="preserve">PŘÍJMY </w:t>
            </w:r>
            <w:r w:rsidRPr="003612B5">
              <w:rPr>
                <w:kern w:val="1"/>
                <w:sz w:val="28"/>
                <w:szCs w:val="28"/>
                <w:lang w:eastAsia="ar-SA"/>
              </w:rPr>
              <w:t>(v Kč)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1D37" w:rsidRPr="003612B5" w:rsidRDefault="00D01D37" w:rsidP="00A776D2">
            <w:pPr>
              <w:suppressAutoHyphens/>
              <w:spacing w:after="0" w:line="100" w:lineRule="atLeast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3612B5">
              <w:rPr>
                <w:b/>
                <w:kern w:val="1"/>
                <w:sz w:val="28"/>
                <w:szCs w:val="28"/>
                <w:lang w:eastAsia="ar-SA"/>
              </w:rPr>
              <w:t xml:space="preserve">VÝDAJE </w:t>
            </w:r>
            <w:r w:rsidRPr="003612B5">
              <w:rPr>
                <w:kern w:val="1"/>
                <w:sz w:val="28"/>
                <w:szCs w:val="28"/>
                <w:lang w:eastAsia="ar-SA"/>
              </w:rPr>
              <w:t>(v Kč)</w:t>
            </w:r>
          </w:p>
        </w:tc>
      </w:tr>
      <w:tr w:rsidR="00D01D37" w:rsidRPr="003612B5" w:rsidTr="00A776D2">
        <w:trPr>
          <w:trHeight w:val="32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D37" w:rsidRPr="003612B5" w:rsidRDefault="00D01D37" w:rsidP="00A776D2">
            <w:pPr>
              <w:suppressAutoHyphens/>
              <w:spacing w:after="0"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3612B5">
              <w:rPr>
                <w:kern w:val="1"/>
                <w:sz w:val="28"/>
                <w:szCs w:val="28"/>
                <w:lang w:eastAsia="ar-SA"/>
              </w:rPr>
              <w:t>Daňové příjmy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D37" w:rsidRPr="003612B5" w:rsidRDefault="00361213" w:rsidP="00A776D2">
            <w:pPr>
              <w:suppressAutoHyphens/>
              <w:spacing w:after="0" w:line="100" w:lineRule="atLeast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63.517.000,00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D37" w:rsidRPr="003612B5" w:rsidRDefault="00D01D37" w:rsidP="00A776D2">
            <w:pPr>
              <w:suppressAutoHyphens/>
              <w:spacing w:after="0"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3612B5">
              <w:rPr>
                <w:kern w:val="1"/>
                <w:sz w:val="28"/>
                <w:szCs w:val="28"/>
                <w:lang w:eastAsia="ar-SA"/>
              </w:rPr>
              <w:t>Běžné výdaje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D37" w:rsidRPr="003612B5" w:rsidRDefault="00361213" w:rsidP="00A776D2">
            <w:pPr>
              <w:suppressAutoHyphens/>
              <w:spacing w:after="0" w:line="100" w:lineRule="atLeast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79.118.744,72</w:t>
            </w:r>
          </w:p>
        </w:tc>
      </w:tr>
      <w:tr w:rsidR="00D01D37" w:rsidRPr="003612B5" w:rsidTr="00A776D2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D37" w:rsidRPr="003612B5" w:rsidRDefault="00D01D37" w:rsidP="00A776D2">
            <w:pPr>
              <w:suppressAutoHyphens/>
              <w:spacing w:after="0"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3612B5">
              <w:rPr>
                <w:kern w:val="1"/>
                <w:sz w:val="28"/>
                <w:szCs w:val="28"/>
                <w:lang w:eastAsia="ar-SA"/>
              </w:rPr>
              <w:t>Nedaňové příjmy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D37" w:rsidRPr="003612B5" w:rsidRDefault="00361213" w:rsidP="00A776D2">
            <w:pPr>
              <w:suppressAutoHyphens/>
              <w:spacing w:after="0" w:line="100" w:lineRule="atLeast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13.297.800,00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D37" w:rsidRPr="003612B5" w:rsidRDefault="00D01D37" w:rsidP="00A776D2">
            <w:pPr>
              <w:suppressAutoHyphens/>
              <w:spacing w:after="0"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3612B5">
              <w:rPr>
                <w:kern w:val="1"/>
                <w:sz w:val="28"/>
                <w:szCs w:val="28"/>
                <w:lang w:eastAsia="ar-SA"/>
              </w:rPr>
              <w:t>Kapitálové výdaje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D37" w:rsidRPr="003612B5" w:rsidRDefault="00361213" w:rsidP="00A776D2">
            <w:pPr>
              <w:suppressAutoHyphens/>
              <w:spacing w:after="0" w:line="100" w:lineRule="atLeast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9.866.250,00</w:t>
            </w:r>
          </w:p>
        </w:tc>
      </w:tr>
      <w:tr w:rsidR="00D01D37" w:rsidRPr="003612B5" w:rsidTr="00A776D2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D37" w:rsidRPr="003612B5" w:rsidRDefault="00D01D37" w:rsidP="00A776D2">
            <w:pPr>
              <w:suppressAutoHyphens/>
              <w:spacing w:after="0"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3612B5">
              <w:rPr>
                <w:kern w:val="1"/>
                <w:sz w:val="28"/>
                <w:szCs w:val="28"/>
                <w:lang w:eastAsia="ar-SA"/>
              </w:rPr>
              <w:t>Kapitálové příjmy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D37" w:rsidRPr="003612B5" w:rsidRDefault="00D01D37" w:rsidP="00A776D2">
            <w:pPr>
              <w:suppressAutoHyphens/>
              <w:spacing w:after="0" w:line="100" w:lineRule="atLeast"/>
              <w:jc w:val="right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D37" w:rsidRPr="003612B5" w:rsidRDefault="00D01D37" w:rsidP="00A776D2">
            <w:pPr>
              <w:suppressAutoHyphens/>
              <w:snapToGrid w:val="0"/>
              <w:spacing w:after="0" w:line="100" w:lineRule="atLeast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D37" w:rsidRPr="003612B5" w:rsidRDefault="00D01D37" w:rsidP="00A776D2">
            <w:pPr>
              <w:suppressAutoHyphens/>
              <w:snapToGrid w:val="0"/>
              <w:spacing w:after="0" w:line="100" w:lineRule="atLeast"/>
              <w:jc w:val="right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D01D37" w:rsidRPr="003612B5" w:rsidTr="00A776D2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D37" w:rsidRPr="003612B5" w:rsidRDefault="00D01D37" w:rsidP="00A776D2">
            <w:pPr>
              <w:suppressAutoHyphens/>
              <w:spacing w:after="0"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3612B5">
              <w:rPr>
                <w:kern w:val="1"/>
                <w:sz w:val="28"/>
                <w:szCs w:val="28"/>
                <w:lang w:eastAsia="ar-SA"/>
              </w:rPr>
              <w:t>Přijaté transfery*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D37" w:rsidRPr="003612B5" w:rsidRDefault="00361213" w:rsidP="00A776D2">
            <w:pPr>
              <w:suppressAutoHyphens/>
              <w:spacing w:after="0" w:line="100" w:lineRule="atLeast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12.170.194,72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D37" w:rsidRPr="003612B5" w:rsidRDefault="00D01D37" w:rsidP="00A776D2">
            <w:pPr>
              <w:suppressAutoHyphens/>
              <w:snapToGrid w:val="0"/>
              <w:spacing w:after="0" w:line="100" w:lineRule="atLeast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D37" w:rsidRPr="003612B5" w:rsidRDefault="00D01D37" w:rsidP="00A776D2">
            <w:pPr>
              <w:suppressAutoHyphens/>
              <w:snapToGrid w:val="0"/>
              <w:spacing w:after="0" w:line="100" w:lineRule="atLeast"/>
              <w:jc w:val="right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D01D37" w:rsidRPr="003612B5" w:rsidTr="00A776D2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01D37" w:rsidRPr="006C2C3D" w:rsidRDefault="00D01D37" w:rsidP="00A776D2">
            <w:pPr>
              <w:suppressAutoHyphens/>
              <w:spacing w:after="0"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6C2C3D">
              <w:rPr>
                <w:kern w:val="1"/>
                <w:sz w:val="28"/>
                <w:szCs w:val="28"/>
                <w:lang w:eastAsia="ar-SA"/>
              </w:rPr>
              <w:t>Konsolidační položky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01D37" w:rsidRPr="006C2C3D" w:rsidRDefault="00361213" w:rsidP="00A776D2">
            <w:pPr>
              <w:suppressAutoHyphens/>
              <w:spacing w:after="0" w:line="100" w:lineRule="atLeast"/>
              <w:jc w:val="right"/>
              <w:rPr>
                <w:kern w:val="1"/>
                <w:sz w:val="28"/>
                <w:szCs w:val="28"/>
                <w:lang w:eastAsia="ar-SA"/>
              </w:rPr>
            </w:pPr>
            <w:r w:rsidRPr="006C2C3D">
              <w:rPr>
                <w:kern w:val="1"/>
                <w:sz w:val="28"/>
                <w:szCs w:val="28"/>
                <w:lang w:eastAsia="ar-SA"/>
              </w:rPr>
              <w:t>1.100.000,00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01D37" w:rsidRPr="006C2C3D" w:rsidRDefault="00D01D37" w:rsidP="00A776D2">
            <w:pPr>
              <w:suppressAutoHyphens/>
              <w:spacing w:after="0"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6C2C3D">
              <w:rPr>
                <w:kern w:val="1"/>
                <w:sz w:val="28"/>
                <w:szCs w:val="28"/>
                <w:lang w:eastAsia="ar-SA"/>
              </w:rPr>
              <w:t>Konsolidační položky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01D37" w:rsidRPr="006C2C3D" w:rsidRDefault="00361213" w:rsidP="006C2C3D">
            <w:pPr>
              <w:suppressAutoHyphens/>
              <w:spacing w:after="0" w:line="100" w:lineRule="atLeast"/>
              <w:jc w:val="right"/>
              <w:rPr>
                <w:kern w:val="1"/>
                <w:sz w:val="28"/>
                <w:szCs w:val="28"/>
                <w:lang w:eastAsia="ar-SA"/>
              </w:rPr>
            </w:pPr>
            <w:r w:rsidRPr="006C2C3D">
              <w:rPr>
                <w:kern w:val="1"/>
                <w:sz w:val="28"/>
                <w:szCs w:val="28"/>
                <w:lang w:eastAsia="ar-SA"/>
              </w:rPr>
              <w:t>1.100.000,00</w:t>
            </w:r>
          </w:p>
        </w:tc>
      </w:tr>
      <w:tr w:rsidR="00D01D37" w:rsidRPr="003612B5" w:rsidTr="00A776D2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01D37" w:rsidRPr="003612B5" w:rsidRDefault="00D01D37" w:rsidP="00A776D2">
            <w:pPr>
              <w:suppressAutoHyphens/>
              <w:spacing w:after="0" w:line="100" w:lineRule="atLeast"/>
              <w:rPr>
                <w:b/>
                <w:kern w:val="1"/>
                <w:sz w:val="28"/>
                <w:szCs w:val="28"/>
                <w:lang w:eastAsia="ar-SA"/>
              </w:rPr>
            </w:pPr>
            <w:r w:rsidRPr="003612B5">
              <w:rPr>
                <w:b/>
                <w:kern w:val="1"/>
                <w:sz w:val="28"/>
                <w:szCs w:val="28"/>
                <w:lang w:eastAsia="ar-SA"/>
              </w:rPr>
              <w:t>Příjmy celkem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01D37" w:rsidRPr="003612B5" w:rsidRDefault="00361213" w:rsidP="00A776D2">
            <w:pPr>
              <w:suppressAutoHyphens/>
              <w:spacing w:after="0" w:line="100" w:lineRule="atLeast"/>
              <w:jc w:val="right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kern w:val="1"/>
                <w:sz w:val="28"/>
                <w:szCs w:val="28"/>
                <w:lang w:eastAsia="ar-SA"/>
              </w:rPr>
              <w:t>90.084.994,72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01D37" w:rsidRPr="003612B5" w:rsidRDefault="00D01D37" w:rsidP="00A776D2">
            <w:pPr>
              <w:suppressAutoHyphens/>
              <w:spacing w:after="0" w:line="100" w:lineRule="atLeast"/>
              <w:rPr>
                <w:b/>
                <w:kern w:val="1"/>
                <w:sz w:val="28"/>
                <w:szCs w:val="28"/>
                <w:lang w:eastAsia="ar-SA"/>
              </w:rPr>
            </w:pPr>
            <w:r w:rsidRPr="003612B5">
              <w:rPr>
                <w:b/>
                <w:kern w:val="1"/>
                <w:sz w:val="28"/>
                <w:szCs w:val="28"/>
                <w:lang w:eastAsia="ar-SA"/>
              </w:rPr>
              <w:t>Výdaje celkem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01D37" w:rsidRPr="003612B5" w:rsidRDefault="00361213" w:rsidP="006C2C3D">
            <w:pPr>
              <w:suppressAutoHyphens/>
              <w:spacing w:after="0" w:line="100" w:lineRule="atLeast"/>
              <w:jc w:val="right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kern w:val="1"/>
                <w:sz w:val="28"/>
                <w:szCs w:val="28"/>
                <w:lang w:eastAsia="ar-SA"/>
              </w:rPr>
              <w:t>90.084.994,72</w:t>
            </w:r>
          </w:p>
        </w:tc>
      </w:tr>
    </w:tbl>
    <w:p w:rsidR="00D01D37" w:rsidRPr="00FF1183" w:rsidRDefault="00D01D37" w:rsidP="00D01D37">
      <w:pPr>
        <w:spacing w:after="0"/>
        <w:rPr>
          <w:b/>
          <w:sz w:val="10"/>
        </w:rPr>
      </w:pPr>
    </w:p>
    <w:p w:rsidR="00D01D37" w:rsidRDefault="00D01D37" w:rsidP="00D01D37">
      <w:pPr>
        <w:spacing w:after="0" w:line="200" w:lineRule="atLeast"/>
        <w:rPr>
          <w:b/>
          <w:sz w:val="28"/>
          <w:szCs w:val="28"/>
        </w:rPr>
      </w:pPr>
    </w:p>
    <w:p w:rsidR="00585BFD" w:rsidRPr="003612B5" w:rsidRDefault="00585BFD" w:rsidP="00D01D37">
      <w:pPr>
        <w:spacing w:after="0" w:line="200" w:lineRule="atLeast"/>
        <w:rPr>
          <w:b/>
          <w:sz w:val="28"/>
          <w:szCs w:val="28"/>
        </w:rPr>
      </w:pPr>
    </w:p>
    <w:p w:rsidR="00CC595B" w:rsidRDefault="00CC595B" w:rsidP="00D01D37">
      <w:pPr>
        <w:spacing w:after="0" w:line="200" w:lineRule="atLeast"/>
        <w:rPr>
          <w:b/>
        </w:rPr>
      </w:pPr>
    </w:p>
    <w:p w:rsidR="00D01D37" w:rsidRPr="002C048E" w:rsidRDefault="00D01D37" w:rsidP="00D01D37">
      <w:pPr>
        <w:spacing w:after="0" w:line="200" w:lineRule="atLeast"/>
        <w:rPr>
          <w:b/>
        </w:rPr>
      </w:pPr>
      <w:r w:rsidRPr="002C048E">
        <w:rPr>
          <w:b/>
        </w:rPr>
        <w:t>*</w:t>
      </w:r>
    </w:p>
    <w:p w:rsidR="00D01D37" w:rsidRPr="00585BFD" w:rsidRDefault="00D01D37" w:rsidP="00D01D37">
      <w:pPr>
        <w:numPr>
          <w:ilvl w:val="0"/>
          <w:numId w:val="2"/>
        </w:numPr>
        <w:spacing w:after="0" w:line="276" w:lineRule="auto"/>
      </w:pPr>
      <w:r w:rsidRPr="00585BFD">
        <w:t>Moravskoslezský kraj; Neinvestiční přijatý transfer ze SR v rámci souhrnného dotačního vztahu 1.500.000,- Kč</w:t>
      </w:r>
    </w:p>
    <w:p w:rsidR="00D01D37" w:rsidRPr="00585BFD" w:rsidRDefault="00D01D37" w:rsidP="00D01D37">
      <w:pPr>
        <w:numPr>
          <w:ilvl w:val="0"/>
          <w:numId w:val="2"/>
        </w:numPr>
        <w:spacing w:after="0" w:line="276" w:lineRule="auto"/>
      </w:pPr>
      <w:r w:rsidRPr="00585BFD">
        <w:t>Ostatní obce – úhrada za výkon činnosti přestupkové komise, zabezpečení požární ochrany 45.000,- Kč</w:t>
      </w:r>
    </w:p>
    <w:p w:rsidR="00D01D37" w:rsidRPr="00585BFD" w:rsidRDefault="00D01D37" w:rsidP="00D01D37">
      <w:pPr>
        <w:numPr>
          <w:ilvl w:val="0"/>
          <w:numId w:val="2"/>
        </w:numPr>
        <w:spacing w:after="0" w:line="276" w:lineRule="auto"/>
      </w:pPr>
      <w:r w:rsidRPr="00585BFD">
        <w:t>Ministerstvo životního prostředí České republiky; kanalizace pro obec Klimkovi</w:t>
      </w:r>
      <w:r w:rsidR="00771ED9" w:rsidRPr="00585BFD">
        <w:t>ce-Josefovice ve výši 3.433.931,59</w:t>
      </w:r>
      <w:r w:rsidRPr="00585BFD">
        <w:t xml:space="preserve"> Kč</w:t>
      </w:r>
    </w:p>
    <w:p w:rsidR="00771ED9" w:rsidRPr="00585BFD" w:rsidRDefault="00771ED9" w:rsidP="00D01D37">
      <w:pPr>
        <w:numPr>
          <w:ilvl w:val="0"/>
          <w:numId w:val="2"/>
        </w:numPr>
        <w:spacing w:after="0" w:line="276" w:lineRule="auto"/>
      </w:pPr>
      <w:r w:rsidRPr="00585BFD">
        <w:t>Státní fond životního prostředí; předfinancování kotlíků ve výši 5.930.000,- Kč</w:t>
      </w:r>
    </w:p>
    <w:p w:rsidR="00771ED9" w:rsidRPr="00585BFD" w:rsidRDefault="00771ED9" w:rsidP="00D01D37">
      <w:pPr>
        <w:numPr>
          <w:ilvl w:val="0"/>
          <w:numId w:val="2"/>
        </w:numPr>
        <w:spacing w:after="0" w:line="276" w:lineRule="auto"/>
      </w:pPr>
      <w:r w:rsidRPr="00585BFD">
        <w:t>Státní fond životního prostředí; úprava zeleně hřbitova v Klimkovicích ve výši 4.676,- Kč</w:t>
      </w:r>
    </w:p>
    <w:p w:rsidR="00D01D37" w:rsidRPr="00585BFD" w:rsidRDefault="00771ED9" w:rsidP="00D01D37">
      <w:pPr>
        <w:numPr>
          <w:ilvl w:val="0"/>
          <w:numId w:val="2"/>
        </w:numPr>
        <w:spacing w:after="0" w:line="276" w:lineRule="auto"/>
      </w:pPr>
      <w:r w:rsidRPr="00585BFD">
        <w:t>Moravskoslezský kraj; program na podporu akcí s podporou EU</w:t>
      </w:r>
      <w:r w:rsidR="00D01D37" w:rsidRPr="00585BFD">
        <w:t xml:space="preserve"> ve výši 1.149.500,- Kč</w:t>
      </w:r>
    </w:p>
    <w:p w:rsidR="00D01D37" w:rsidRPr="00585BFD" w:rsidRDefault="00D01D37" w:rsidP="00D01D37">
      <w:pPr>
        <w:numPr>
          <w:ilvl w:val="0"/>
          <w:numId w:val="2"/>
        </w:numPr>
        <w:spacing w:after="0" w:line="276" w:lineRule="auto"/>
      </w:pPr>
      <w:r w:rsidRPr="00585BFD">
        <w:t>Ministerstvo životního prostředí České republiky; Revitaliz</w:t>
      </w:r>
      <w:r w:rsidR="00771ED9" w:rsidRPr="00585BFD">
        <w:t>ace lipové aleje ve výši 28.087,13</w:t>
      </w:r>
      <w:r w:rsidRPr="00585BFD">
        <w:t xml:space="preserve"> Kč</w:t>
      </w:r>
    </w:p>
    <w:p w:rsidR="00771ED9" w:rsidRPr="00585BFD" w:rsidRDefault="00771ED9" w:rsidP="00D01D37">
      <w:pPr>
        <w:numPr>
          <w:ilvl w:val="0"/>
          <w:numId w:val="2"/>
        </w:numPr>
        <w:spacing w:after="0" w:line="276" w:lineRule="auto"/>
      </w:pPr>
      <w:r w:rsidRPr="00585BFD">
        <w:t>Moravskoslezský kraj; program na podporu přípravy PD 2017 ve výši 100.000,- Kč</w:t>
      </w:r>
    </w:p>
    <w:p w:rsidR="00771ED9" w:rsidRDefault="00771ED9" w:rsidP="00D01D37">
      <w:pPr>
        <w:numPr>
          <w:ilvl w:val="0"/>
          <w:numId w:val="2"/>
        </w:numPr>
        <w:spacing w:after="0" w:line="276" w:lineRule="auto"/>
      </w:pPr>
      <w:r>
        <w:t>Moravskoslezský kraj; jazyková mutace webu KIS Klimkovice ve výši 24.000,- Kč</w:t>
      </w:r>
    </w:p>
    <w:p w:rsidR="00D01D37" w:rsidRDefault="00D01D37" w:rsidP="00D01D37">
      <w:pPr>
        <w:spacing w:after="0" w:line="240" w:lineRule="atLeast"/>
        <w:rPr>
          <w:color w:val="000000"/>
          <w:sz w:val="8"/>
        </w:rPr>
      </w:pPr>
    </w:p>
    <w:p w:rsidR="00585BFD" w:rsidRPr="00FF1183" w:rsidRDefault="00585BFD" w:rsidP="00D01D37">
      <w:pPr>
        <w:spacing w:after="0" w:line="240" w:lineRule="atLeast"/>
        <w:rPr>
          <w:color w:val="000000"/>
          <w:sz w:val="8"/>
        </w:rPr>
      </w:pPr>
    </w:p>
    <w:p w:rsidR="006C2C3D" w:rsidRDefault="006C2C3D" w:rsidP="00D01D37">
      <w:pPr>
        <w:jc w:val="both"/>
        <w:rPr>
          <w:color w:val="000000"/>
        </w:rPr>
      </w:pPr>
    </w:p>
    <w:p w:rsidR="00771ED9" w:rsidRDefault="00771ED9" w:rsidP="00D01D37">
      <w:pPr>
        <w:jc w:val="both"/>
        <w:rPr>
          <w:color w:val="000000"/>
        </w:rPr>
      </w:pPr>
    </w:p>
    <w:p w:rsidR="00D01D37" w:rsidRDefault="00D01D37" w:rsidP="00D01D37">
      <w:pPr>
        <w:jc w:val="both"/>
      </w:pPr>
      <w:r w:rsidRPr="00D25749">
        <w:rPr>
          <w:b/>
          <w:sz w:val="24"/>
          <w:szCs w:val="24"/>
          <w:u w:val="single"/>
        </w:rPr>
        <w:lastRenderedPageBreak/>
        <w:t>Příjmy</w:t>
      </w:r>
    </w:p>
    <w:p w:rsidR="00D01D37" w:rsidRDefault="0072533A" w:rsidP="00D01D37">
      <w:pPr>
        <w:spacing w:after="0" w:line="240" w:lineRule="auto"/>
        <w:jc w:val="both"/>
      </w:pPr>
      <w:r>
        <w:t>V návrhu rozpočtu jsou uvedeny daňové a nedaňové příjmy a přijaté transfery, které jsou</w:t>
      </w:r>
      <w:r w:rsidR="00206ACF">
        <w:t xml:space="preserve"> podrobně</w:t>
      </w:r>
      <w:r>
        <w:t xml:space="preserve"> uved</w:t>
      </w:r>
      <w:r w:rsidR="00206ACF">
        <w:t>eny viz výše</w:t>
      </w:r>
      <w:r>
        <w:t xml:space="preserve">. </w:t>
      </w:r>
    </w:p>
    <w:p w:rsidR="008679E2" w:rsidRDefault="008679E2" w:rsidP="00D01D37">
      <w:pPr>
        <w:spacing w:after="0" w:line="240" w:lineRule="auto"/>
        <w:jc w:val="both"/>
      </w:pPr>
    </w:p>
    <w:p w:rsidR="00D01D37" w:rsidRDefault="00D01D37" w:rsidP="00D01D37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Výdaje</w:t>
      </w:r>
    </w:p>
    <w:p w:rsidR="008679E2" w:rsidRPr="00595408" w:rsidRDefault="008679E2" w:rsidP="00D01D37">
      <w:pPr>
        <w:spacing w:after="0" w:line="240" w:lineRule="auto"/>
        <w:jc w:val="both"/>
      </w:pPr>
    </w:p>
    <w:p w:rsidR="00D01D37" w:rsidRDefault="00D01D37" w:rsidP="00FD2A09">
      <w:pPr>
        <w:jc w:val="both"/>
      </w:pPr>
      <w:r>
        <w:t>V návrhu rozpočtu jsou zapracovány mandatorní (nutné, vázané) výdaje. Do této kategorie patří např. platby za odvádění odpadních vod, financování provozu příspěvkových organizací města, úklid města (letní i zimní), výdaje na provoz městského úřadu, technické správy města, knihovny, veřejného osvětlení atd. Jsou to výdaje nutné na zajištění chodu města a základních služeb pro obyvatelstvo a dále výdaje smluvně zajištěné.</w:t>
      </w:r>
    </w:p>
    <w:p w:rsidR="00D01D37" w:rsidRDefault="00D01D37" w:rsidP="00D01D37">
      <w:pPr>
        <w:spacing w:after="0" w:line="240" w:lineRule="auto"/>
      </w:pPr>
      <w:r>
        <w:t>U výdajů jsou také rozpočtovány výdaje na investiční akce, kterými jsou:</w:t>
      </w:r>
    </w:p>
    <w:p w:rsidR="00D01D37" w:rsidRPr="00206ACF" w:rsidRDefault="00D01D37" w:rsidP="00D01D37">
      <w:pPr>
        <w:spacing w:after="0" w:line="240" w:lineRule="auto"/>
      </w:pPr>
      <w:r w:rsidRPr="00206ACF">
        <w:t>- Propojení ulic U Statku a Fonovická ve výši 150.000,- Kč.</w:t>
      </w:r>
    </w:p>
    <w:p w:rsidR="00D01D37" w:rsidRPr="00206ACF" w:rsidRDefault="00D01D37" w:rsidP="00D01D37">
      <w:pPr>
        <w:spacing w:after="0" w:line="240" w:lineRule="auto"/>
      </w:pPr>
      <w:r w:rsidRPr="00206ACF">
        <w:t>- Cyklostezka Klimkovice – Josefovice, studie ve výši 100.000,- Kč</w:t>
      </w:r>
    </w:p>
    <w:p w:rsidR="00D01D37" w:rsidRPr="00206ACF" w:rsidRDefault="00D01D37" w:rsidP="00D01D37">
      <w:pPr>
        <w:spacing w:after="0" w:line="240" w:lineRule="auto"/>
      </w:pPr>
      <w:r w:rsidRPr="00206ACF">
        <w:t>- Projektová dokumentace – chodník ul. Olbramická ve výši 150.000,- Kč.</w:t>
      </w:r>
    </w:p>
    <w:p w:rsidR="00D01D37" w:rsidRPr="00206ACF" w:rsidRDefault="00D01D37" w:rsidP="00D01D37">
      <w:pPr>
        <w:spacing w:after="0" w:line="240" w:lineRule="auto"/>
      </w:pPr>
      <w:r w:rsidRPr="00206ACF">
        <w:t>- Projektová dokumentace</w:t>
      </w:r>
      <w:r w:rsidR="006D4C84" w:rsidRPr="00206ACF">
        <w:t xml:space="preserve"> a stavba</w:t>
      </w:r>
      <w:r w:rsidRPr="00206ACF">
        <w:t xml:space="preserve"> – c</w:t>
      </w:r>
      <w:r w:rsidR="006D4C84" w:rsidRPr="00206ACF">
        <w:t>hodník ul. 28. října ve výši 2.000</w:t>
      </w:r>
      <w:r w:rsidRPr="00206ACF">
        <w:t>.000,- Kč.</w:t>
      </w:r>
    </w:p>
    <w:p w:rsidR="00206ACF" w:rsidRPr="00206ACF" w:rsidRDefault="00206ACF" w:rsidP="00D01D37">
      <w:pPr>
        <w:spacing w:after="0" w:line="240" w:lineRule="auto"/>
      </w:pPr>
      <w:r w:rsidRPr="00206ACF">
        <w:t>- Chodník Josefovice I. část ve výši 250.000,- Kč</w:t>
      </w:r>
    </w:p>
    <w:p w:rsidR="00206ACF" w:rsidRPr="00206ACF" w:rsidRDefault="00206ACF" w:rsidP="00D01D37">
      <w:pPr>
        <w:spacing w:after="0" w:line="240" w:lineRule="auto"/>
      </w:pPr>
      <w:r w:rsidRPr="00206ACF">
        <w:t>- Mostek Kotkova ve výši 2.000.000,- Kč</w:t>
      </w:r>
    </w:p>
    <w:p w:rsidR="00206ACF" w:rsidRPr="00206ACF" w:rsidRDefault="00206ACF" w:rsidP="00D01D37">
      <w:pPr>
        <w:spacing w:after="0" w:line="240" w:lineRule="auto"/>
      </w:pPr>
      <w:r w:rsidRPr="00206ACF">
        <w:t>- Realizace schodů ve výši 70.000,- Kč</w:t>
      </w:r>
    </w:p>
    <w:p w:rsidR="00D01D37" w:rsidRPr="00206ACF" w:rsidRDefault="00D01D37" w:rsidP="00D01D37">
      <w:pPr>
        <w:spacing w:after="0" w:line="240" w:lineRule="auto"/>
      </w:pPr>
      <w:r w:rsidRPr="00206ACF">
        <w:t xml:space="preserve">- </w:t>
      </w:r>
      <w:r w:rsidR="00FB1980" w:rsidRPr="00206ACF">
        <w:t xml:space="preserve">Administrace VŘ </w:t>
      </w:r>
      <w:r w:rsidRPr="00206ACF">
        <w:t>stavba ČOV +</w:t>
      </w:r>
      <w:r w:rsidR="00BC2E21" w:rsidRPr="00206ACF">
        <w:t xml:space="preserve"> kanalizace Josefovice ve výši </w:t>
      </w:r>
      <w:r w:rsidR="003D3C8D" w:rsidRPr="00206ACF">
        <w:t>1.6</w:t>
      </w:r>
      <w:r w:rsidR="00BC2E21" w:rsidRPr="00206ACF">
        <w:t>15</w:t>
      </w:r>
      <w:r w:rsidRPr="00206ACF">
        <w:t>.000,- Kč</w:t>
      </w:r>
    </w:p>
    <w:p w:rsidR="008679E2" w:rsidRPr="00206ACF" w:rsidRDefault="008679E2" w:rsidP="00D01D37">
      <w:pPr>
        <w:spacing w:after="0" w:line="240" w:lineRule="auto"/>
      </w:pPr>
      <w:r w:rsidRPr="00206ACF">
        <w:t>- ČOV a kanalizace Josefovice ve výši 1.500.000,- Kč</w:t>
      </w:r>
    </w:p>
    <w:p w:rsidR="00D01D37" w:rsidRPr="00206ACF" w:rsidRDefault="00D01D37" w:rsidP="00D01D37">
      <w:pPr>
        <w:spacing w:after="0" w:line="240" w:lineRule="auto"/>
      </w:pPr>
      <w:r w:rsidRPr="00206ACF">
        <w:t xml:space="preserve">- </w:t>
      </w:r>
      <w:r w:rsidR="00FB1980" w:rsidRPr="00206ACF">
        <w:t>PD - k</w:t>
      </w:r>
      <w:r w:rsidRPr="00206ACF">
        <w:t>analizace balast, orelské hřiště ve výši 100.000,- Kč</w:t>
      </w:r>
    </w:p>
    <w:p w:rsidR="006D4C84" w:rsidRPr="00206ACF" w:rsidRDefault="00F851C0" w:rsidP="00D01D37">
      <w:pPr>
        <w:spacing w:after="0" w:line="240" w:lineRule="auto"/>
      </w:pPr>
      <w:r w:rsidRPr="00206ACF">
        <w:rPr>
          <w:rFonts w:ascii="Calibri" w:eastAsia="Times New Roman" w:hAnsi="Calibri" w:cs="Times New Roman"/>
          <w:color w:val="000000"/>
          <w:lang w:eastAsia="cs-CZ"/>
        </w:rPr>
        <w:t xml:space="preserve">- </w:t>
      </w:r>
      <w:r w:rsidR="00FB1980" w:rsidRPr="00206ACF">
        <w:t>Koupě pozemku parc. č. 458/2 ve výši 1.900,- Kč</w:t>
      </w:r>
    </w:p>
    <w:p w:rsidR="00BC2E21" w:rsidRPr="00206ACF" w:rsidRDefault="00D01D37" w:rsidP="00D01D37">
      <w:pPr>
        <w:spacing w:after="0" w:line="240" w:lineRule="auto"/>
      </w:pPr>
      <w:r w:rsidRPr="00206ACF">
        <w:t xml:space="preserve">- </w:t>
      </w:r>
      <w:r w:rsidR="00BC2E21" w:rsidRPr="00206ACF">
        <w:t>Rekonstrukce Sokolovny ve výši 815.500,- Kč</w:t>
      </w:r>
    </w:p>
    <w:p w:rsidR="00D01D37" w:rsidRPr="00206ACF" w:rsidRDefault="00D01D37" w:rsidP="00D01D37">
      <w:pPr>
        <w:spacing w:after="0" w:line="240" w:lineRule="auto"/>
      </w:pPr>
      <w:r w:rsidRPr="00206ACF">
        <w:t>- Sokolovna – dodatek č. 1 ve výši 574.750,- Kč</w:t>
      </w:r>
    </w:p>
    <w:p w:rsidR="00D01D37" w:rsidRPr="00206ACF" w:rsidRDefault="00D01D37" w:rsidP="00D01D37">
      <w:pPr>
        <w:spacing w:after="0" w:line="240" w:lineRule="auto"/>
      </w:pPr>
      <w:r w:rsidRPr="00206ACF">
        <w:t>- Projektová dokumentace – služebna PČR ve výši 250.000,- Kč</w:t>
      </w:r>
    </w:p>
    <w:p w:rsidR="00D01D37" w:rsidRPr="00206ACF" w:rsidRDefault="00D01D37" w:rsidP="00D01D37">
      <w:pPr>
        <w:spacing w:after="0" w:line="240" w:lineRule="auto"/>
      </w:pPr>
      <w:r w:rsidRPr="00206ACF">
        <w:t>- Záme</w:t>
      </w:r>
      <w:r w:rsidR="00BC2E21" w:rsidRPr="00206ACF">
        <w:t xml:space="preserve">k – </w:t>
      </w:r>
      <w:r w:rsidR="006D4C84" w:rsidRPr="00206ACF">
        <w:t xml:space="preserve">nádvoří </w:t>
      </w:r>
      <w:r w:rsidR="00BC2E21" w:rsidRPr="00206ACF">
        <w:t xml:space="preserve">a studna </w:t>
      </w:r>
      <w:r w:rsidR="006D4C84" w:rsidRPr="00206ACF">
        <w:t>ve výši 5</w:t>
      </w:r>
      <w:r w:rsidRPr="00206ACF">
        <w:t>00.000,- Kč</w:t>
      </w:r>
    </w:p>
    <w:p w:rsidR="00FB1980" w:rsidRPr="00206ACF" w:rsidRDefault="00FB1980" w:rsidP="00D01D37">
      <w:pPr>
        <w:spacing w:after="0" w:line="240" w:lineRule="auto"/>
      </w:pPr>
      <w:r w:rsidRPr="00206ACF">
        <w:t>- Zámek – archeologický průzkum ve výši 190.000,- Kč</w:t>
      </w:r>
    </w:p>
    <w:p w:rsidR="00D01D37" w:rsidRDefault="00D01D37" w:rsidP="00D01D37">
      <w:pPr>
        <w:spacing w:after="0" w:line="240" w:lineRule="auto"/>
      </w:pPr>
      <w:r w:rsidRPr="00206ACF">
        <w:t>- Ekologické vytápění ve výši 550.000,- Kč</w:t>
      </w:r>
    </w:p>
    <w:p w:rsidR="008679E2" w:rsidRDefault="008679E2" w:rsidP="00D01D37">
      <w:pPr>
        <w:spacing w:after="0" w:line="240" w:lineRule="auto"/>
        <w:rPr>
          <w:b/>
          <w:sz w:val="24"/>
          <w:szCs w:val="24"/>
          <w:u w:val="single"/>
        </w:rPr>
      </w:pPr>
    </w:p>
    <w:p w:rsidR="00206ACF" w:rsidRDefault="00206ACF" w:rsidP="00D01D37">
      <w:pPr>
        <w:spacing w:after="0" w:line="240" w:lineRule="auto"/>
        <w:rPr>
          <w:b/>
          <w:sz w:val="24"/>
          <w:szCs w:val="24"/>
          <w:u w:val="single"/>
        </w:rPr>
      </w:pPr>
    </w:p>
    <w:p w:rsidR="00206ACF" w:rsidRDefault="00206ACF" w:rsidP="00D01D37">
      <w:pPr>
        <w:spacing w:after="0" w:line="240" w:lineRule="auto"/>
        <w:rPr>
          <w:b/>
          <w:sz w:val="24"/>
          <w:szCs w:val="24"/>
          <w:u w:val="single"/>
        </w:rPr>
      </w:pPr>
    </w:p>
    <w:p w:rsidR="000E18E5" w:rsidRDefault="000E18E5" w:rsidP="00D01D37">
      <w:pPr>
        <w:spacing w:after="0" w:line="240" w:lineRule="auto"/>
        <w:rPr>
          <w:b/>
          <w:sz w:val="24"/>
          <w:szCs w:val="24"/>
          <w:u w:val="single"/>
        </w:rPr>
      </w:pPr>
    </w:p>
    <w:p w:rsidR="00206ACF" w:rsidRDefault="00206ACF" w:rsidP="00D01D37">
      <w:pPr>
        <w:spacing w:after="0" w:line="240" w:lineRule="auto"/>
        <w:rPr>
          <w:b/>
          <w:sz w:val="24"/>
          <w:szCs w:val="24"/>
          <w:u w:val="single"/>
        </w:rPr>
      </w:pPr>
    </w:p>
    <w:p w:rsidR="00D01D37" w:rsidRDefault="00D01D37" w:rsidP="00D01D3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Financování</w:t>
      </w:r>
    </w:p>
    <w:p w:rsidR="00276893" w:rsidRPr="00595408" w:rsidRDefault="00276893" w:rsidP="00D01D37">
      <w:pPr>
        <w:spacing w:after="0" w:line="240" w:lineRule="auto"/>
      </w:pPr>
    </w:p>
    <w:p w:rsidR="00D01D37" w:rsidRDefault="00D01D37" w:rsidP="00D01D37">
      <w:pPr>
        <w:jc w:val="both"/>
      </w:pPr>
      <w:r>
        <w:t>K</w:t>
      </w:r>
      <w:r w:rsidRPr="00206ACF">
        <w:t>apitola financování zohledňuje možnost čerpání kontokorentního úvěru ve výši 4.000.000,- Kč. Je zapojena předpokládan</w:t>
      </w:r>
      <w:r w:rsidR="00FD2A09" w:rsidRPr="00206ACF">
        <w:t>á částka finančního zůstatku na </w:t>
      </w:r>
      <w:r w:rsidRPr="00206ACF">
        <w:t xml:space="preserve">běžných </w:t>
      </w:r>
      <w:r w:rsidR="00276893" w:rsidRPr="00206ACF">
        <w:t xml:space="preserve">účtech k </w:t>
      </w:r>
      <w:r w:rsidR="00506C8C" w:rsidRPr="00206ACF">
        <w:t>31. 12. 2019</w:t>
      </w:r>
      <w:r w:rsidR="006C2C3D" w:rsidRPr="00206ACF">
        <w:t xml:space="preserve"> ve výši 13.043.576</w:t>
      </w:r>
      <w:r w:rsidRPr="00206ACF">
        <w:t>,-</w:t>
      </w:r>
      <w:r w:rsidR="00276893" w:rsidRPr="00206ACF">
        <w:t xml:space="preserve"> Kč;</w:t>
      </w:r>
      <w:r w:rsidR="00FD2A09" w:rsidRPr="00206ACF">
        <w:t xml:space="preserve"> částka z </w:t>
      </w:r>
      <w:r w:rsidRPr="00206ACF">
        <w:t xml:space="preserve">fondu sportu ve </w:t>
      </w:r>
      <w:r w:rsidR="006C2C3D" w:rsidRPr="00206ACF">
        <w:t>výši 650.000</w:t>
      </w:r>
      <w:r w:rsidRPr="00206ACF">
        <w:t>,-</w:t>
      </w:r>
      <w:r w:rsidR="00FD2A09" w:rsidRPr="00206ACF">
        <w:t xml:space="preserve"> Kč</w:t>
      </w:r>
      <w:r w:rsidRPr="00206ACF">
        <w:t xml:space="preserve"> a částka ve výši </w:t>
      </w:r>
      <w:r w:rsidR="006C2C3D" w:rsidRPr="00206ACF">
        <w:t>170.000</w:t>
      </w:r>
      <w:r w:rsidRPr="00206ACF">
        <w:t>,-</w:t>
      </w:r>
      <w:r w:rsidR="00506C8C" w:rsidRPr="00206ACF">
        <w:t xml:space="preserve"> Kč ze sociálního fondu. </w:t>
      </w:r>
      <w:r w:rsidRPr="00206ACF">
        <w:t xml:space="preserve"> V položce 8124 jsou zahrnuty splátky</w:t>
      </w:r>
      <w:r w:rsidR="00FD2A09" w:rsidRPr="00206ACF">
        <w:t xml:space="preserve"> dlouhodobých</w:t>
      </w:r>
      <w:r w:rsidRPr="00206ACF">
        <w:t xml:space="preserve"> bankovních</w:t>
      </w:r>
      <w:r w:rsidR="00FD2A09" w:rsidRPr="00206ACF">
        <w:t xml:space="preserve"> úvěrů v celkové výši 13.863.576</w:t>
      </w:r>
      <w:r w:rsidRPr="00206ACF">
        <w:t>,- Kč. Jedná se o úhradu úvěru na rekonstrukci Základní školy Klimkovice v projektu „Snížení emisí a energetické úspory Základní školy Klimkovice“ ve výši 944.520,-</w:t>
      </w:r>
      <w:r w:rsidR="006C2C3D" w:rsidRPr="00206ACF">
        <w:t xml:space="preserve"> Kč;</w:t>
      </w:r>
      <w:r w:rsidRPr="00206ACF">
        <w:t xml:space="preserve"> splátku úvěru n</w:t>
      </w:r>
      <w:r w:rsidR="00FD2A09" w:rsidRPr="00206ACF">
        <w:t>a stavbu kanalizace ve městě ve </w:t>
      </w:r>
      <w:r w:rsidRPr="00206ACF">
        <w:t>výši 1.985.688,-</w:t>
      </w:r>
      <w:r w:rsidR="006C2C3D" w:rsidRPr="00206ACF">
        <w:t xml:space="preserve"> Kč;</w:t>
      </w:r>
      <w:r w:rsidRPr="00206ACF">
        <w:t xml:space="preserve"> splátku úvěru, který refinancoval půjčku SFŽP ve výši 1.034.196,-</w:t>
      </w:r>
      <w:r w:rsidR="006C2C3D" w:rsidRPr="00206ACF">
        <w:t xml:space="preserve"> Kč;</w:t>
      </w:r>
      <w:r w:rsidRPr="00206ACF">
        <w:t xml:space="preserve"> </w:t>
      </w:r>
      <w:r w:rsidR="00FD2A09" w:rsidRPr="00206ACF">
        <w:t>splátku</w:t>
      </w:r>
      <w:r w:rsidR="006C2C3D" w:rsidRPr="00206ACF">
        <w:t xml:space="preserve"> úvě</w:t>
      </w:r>
      <w:r w:rsidR="006B4935">
        <w:t>ru na stavbu kanalizace -</w:t>
      </w:r>
      <w:r w:rsidR="006C2C3D" w:rsidRPr="00206ACF">
        <w:t xml:space="preserve"> Josefovice ve výši 2.319.168,- Kč; </w:t>
      </w:r>
      <w:r w:rsidR="00FD2A09" w:rsidRPr="00206ACF">
        <w:t>splátku</w:t>
      </w:r>
      <w:r w:rsidR="00276893" w:rsidRPr="00206ACF">
        <w:t xml:space="preserve"> úvěru na zakoupení pozemku ve výši 800.004,- </w:t>
      </w:r>
      <w:r w:rsidR="00FD2A09" w:rsidRPr="00206ACF">
        <w:t>Kč; splátku</w:t>
      </w:r>
      <w:r w:rsidR="00276893" w:rsidRPr="00206ACF">
        <w:t xml:space="preserve"> úvěru na pořízení nemovitosti ve výši 780.000,- Kč. V roce 2020</w:t>
      </w:r>
      <w:r w:rsidRPr="00206ACF">
        <w:t xml:space="preserve"> </w:t>
      </w:r>
      <w:r w:rsidR="00276893" w:rsidRPr="00206ACF">
        <w:t xml:space="preserve">je </w:t>
      </w:r>
      <w:r w:rsidRPr="00206ACF">
        <w:t>předpokládaná mimořádná splátka z dotace na úvěr stavby kanal</w:t>
      </w:r>
      <w:r w:rsidR="00506C8C" w:rsidRPr="00206ACF">
        <w:t xml:space="preserve">izace </w:t>
      </w:r>
      <w:r w:rsidR="00276893" w:rsidRPr="00206ACF">
        <w:t>a ČOV Josefovice ve výši 6 mil. </w:t>
      </w:r>
      <w:r w:rsidR="00506C8C" w:rsidRPr="00206ACF">
        <w:t>Kč.</w:t>
      </w:r>
    </w:p>
    <w:p w:rsidR="00A06112" w:rsidRDefault="00A06112" w:rsidP="00D01D37">
      <w:pPr>
        <w:jc w:val="both"/>
      </w:pPr>
    </w:p>
    <w:p w:rsidR="00A06112" w:rsidRDefault="00A06112" w:rsidP="00D01D37">
      <w:pPr>
        <w:jc w:val="both"/>
      </w:pPr>
    </w:p>
    <w:p w:rsidR="00A06112" w:rsidRDefault="00A06112" w:rsidP="00D01D37">
      <w:pPr>
        <w:jc w:val="both"/>
      </w:pPr>
    </w:p>
    <w:p w:rsidR="00A06112" w:rsidRDefault="00A06112" w:rsidP="00D01D37">
      <w:pPr>
        <w:jc w:val="both"/>
      </w:pPr>
    </w:p>
    <w:p w:rsidR="00A06112" w:rsidRDefault="00A06112" w:rsidP="00D01D37">
      <w:pPr>
        <w:jc w:val="both"/>
      </w:pPr>
    </w:p>
    <w:p w:rsidR="00A06112" w:rsidRDefault="00A06112" w:rsidP="00D01D37">
      <w:pPr>
        <w:jc w:val="both"/>
      </w:pPr>
    </w:p>
    <w:p w:rsidR="00A06112" w:rsidRDefault="00A06112" w:rsidP="00D01D37">
      <w:pPr>
        <w:jc w:val="both"/>
      </w:pPr>
    </w:p>
    <w:p w:rsidR="00A06112" w:rsidRDefault="00A06112" w:rsidP="00D01D37">
      <w:pPr>
        <w:jc w:val="both"/>
      </w:pPr>
    </w:p>
    <w:p w:rsidR="00A06112" w:rsidRDefault="00A06112" w:rsidP="00D01D37">
      <w:pPr>
        <w:jc w:val="both"/>
      </w:pPr>
    </w:p>
    <w:bookmarkStart w:id="0" w:name="_MON_1636528272"/>
    <w:bookmarkEnd w:id="0"/>
    <w:p w:rsidR="00C271CD" w:rsidRDefault="00E64738" w:rsidP="002D7811">
      <w:pPr>
        <w:ind w:right="-30"/>
      </w:pPr>
      <w:r>
        <w:object w:dxaOrig="14010" w:dyaOrig="8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450pt" o:ole="">
            <v:imagedata r:id="rId7" o:title=""/>
          </v:shape>
          <o:OLEObject Type="Embed" ProgID="Excel.Sheet.12" ShapeID="_x0000_i1025" DrawAspect="Content" ObjectID="_1636779974" r:id="rId8"/>
        </w:object>
      </w:r>
    </w:p>
    <w:bookmarkStart w:id="1" w:name="_MON_1636526642"/>
    <w:bookmarkEnd w:id="1"/>
    <w:p w:rsidR="00C271CD" w:rsidRDefault="00794BFF" w:rsidP="00AE543D">
      <w:pPr>
        <w:ind w:right="-30"/>
      </w:pPr>
      <w:r>
        <w:object w:dxaOrig="14010" w:dyaOrig="8991">
          <v:shape id="_x0000_i1026" type="#_x0000_t75" style="width:700.5pt;height:449.25pt" o:ole="">
            <v:imagedata r:id="rId9" o:title=""/>
          </v:shape>
          <o:OLEObject Type="Embed" ProgID="Excel.Sheet.12" ShapeID="_x0000_i1026" DrawAspect="Content" ObjectID="_1636779975" r:id="rId10"/>
        </w:object>
      </w:r>
    </w:p>
    <w:bookmarkStart w:id="2" w:name="_MON_1636526452"/>
    <w:bookmarkEnd w:id="2"/>
    <w:p w:rsidR="00A06112" w:rsidRDefault="00E64738" w:rsidP="00C271CD">
      <w:pPr>
        <w:jc w:val="both"/>
      </w:pPr>
      <w:r>
        <w:object w:dxaOrig="14010" w:dyaOrig="8991">
          <v:shape id="_x0000_i1027" type="#_x0000_t75" style="width:700.5pt;height:449.25pt" o:ole="">
            <v:imagedata r:id="rId11" o:title=""/>
          </v:shape>
          <o:OLEObject Type="Embed" ProgID="Excel.Sheet.12" ShapeID="_x0000_i1027" DrawAspect="Content" ObjectID="_1636779976" r:id="rId12"/>
        </w:object>
      </w:r>
      <w:bookmarkStart w:id="3" w:name="_GoBack"/>
      <w:bookmarkStart w:id="4" w:name="_MON_1636527240"/>
      <w:bookmarkEnd w:id="4"/>
      <w:r>
        <w:object w:dxaOrig="14010" w:dyaOrig="8764">
          <v:shape id="_x0000_i1028" type="#_x0000_t75" style="width:700.5pt;height:438pt" o:ole="">
            <v:imagedata r:id="rId13" o:title=""/>
          </v:shape>
          <o:OLEObject Type="Embed" ProgID="Excel.Sheet.12" ShapeID="_x0000_i1028" DrawAspect="Content" ObjectID="_1636779977" r:id="rId14"/>
        </w:object>
      </w:r>
      <w:bookmarkEnd w:id="3"/>
    </w:p>
    <w:p w:rsidR="00C271CD" w:rsidRPr="00595408" w:rsidRDefault="00C271CD" w:rsidP="00C271C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b/>
          <w:i/>
          <w:sz w:val="24"/>
          <w:szCs w:val="24"/>
        </w:rPr>
      </w:pPr>
      <w:r w:rsidRPr="00B06E11">
        <w:rPr>
          <w:b/>
          <w:i/>
          <w:sz w:val="24"/>
          <w:szCs w:val="24"/>
        </w:rPr>
        <w:lastRenderedPageBreak/>
        <w:t>Návrh rozpo</w:t>
      </w:r>
      <w:r w:rsidR="00B06E11">
        <w:rPr>
          <w:b/>
          <w:i/>
          <w:sz w:val="24"/>
          <w:szCs w:val="24"/>
        </w:rPr>
        <w:t>čtu je zveřejněn na</w:t>
      </w:r>
      <w:r w:rsidRPr="001C5EFC">
        <w:rPr>
          <w:b/>
          <w:i/>
          <w:sz w:val="24"/>
          <w:szCs w:val="24"/>
        </w:rPr>
        <w:t xml:space="preserve"> internetových stránkách města v sekci Hospodaření. V listinné podobě je k dispozici v kanceláři č. 7 Městského úřadu Klimkovice, ul. Lidická 1. Připomínky k návrhu rozpočtu mohou občané uplatnit písemně ve lhůt</w:t>
      </w:r>
      <w:r w:rsidR="00424B00">
        <w:rPr>
          <w:b/>
          <w:i/>
          <w:sz w:val="24"/>
          <w:szCs w:val="24"/>
        </w:rPr>
        <w:t>ě do </w:t>
      </w:r>
      <w:r>
        <w:rPr>
          <w:b/>
          <w:i/>
          <w:sz w:val="24"/>
          <w:szCs w:val="24"/>
        </w:rPr>
        <w:t>18</w:t>
      </w:r>
      <w:r w:rsidR="00585BFD">
        <w:rPr>
          <w:b/>
          <w:i/>
          <w:sz w:val="24"/>
          <w:szCs w:val="24"/>
        </w:rPr>
        <w:t>. 12. </w:t>
      </w:r>
      <w:r w:rsidR="0043192C">
        <w:rPr>
          <w:b/>
          <w:i/>
          <w:sz w:val="24"/>
          <w:szCs w:val="24"/>
        </w:rPr>
        <w:t>2019</w:t>
      </w:r>
      <w:r w:rsidRPr="001C5EFC">
        <w:rPr>
          <w:b/>
          <w:i/>
          <w:sz w:val="24"/>
          <w:szCs w:val="24"/>
        </w:rPr>
        <w:t xml:space="preserve"> nebo ústně při jeho projednávání na zasedání zastupitelstva. Městský úřad Klimkovice, Lidická 1,</w:t>
      </w:r>
      <w:r w:rsidR="00206ACF">
        <w:rPr>
          <w:b/>
          <w:i/>
          <w:sz w:val="24"/>
          <w:szCs w:val="24"/>
        </w:rPr>
        <w:t xml:space="preserve"> 742 83 Klimkovice, Ing.  Iveta </w:t>
      </w:r>
      <w:r w:rsidRPr="001C5EFC">
        <w:rPr>
          <w:b/>
          <w:i/>
          <w:sz w:val="24"/>
          <w:szCs w:val="24"/>
        </w:rPr>
        <w:t xml:space="preserve">Rattmanová, vedoucí finančního odboru, e-mail: </w:t>
      </w:r>
      <w:hyperlink r:id="rId15" w:history="1">
        <w:r w:rsidRPr="001C5EFC">
          <w:rPr>
            <w:rStyle w:val="Hypertextovodkaz"/>
            <w:b/>
            <w:i/>
            <w:sz w:val="24"/>
            <w:szCs w:val="24"/>
          </w:rPr>
          <w:t>rattmanova@mesto-klimkovice.cz</w:t>
        </w:r>
      </w:hyperlink>
      <w:r w:rsidRPr="001C5EFC">
        <w:rPr>
          <w:b/>
          <w:i/>
          <w:sz w:val="24"/>
          <w:szCs w:val="24"/>
        </w:rPr>
        <w:t>, telefon 556 420 079.</w:t>
      </w:r>
    </w:p>
    <w:p w:rsidR="00C271CD" w:rsidRPr="00D01D37" w:rsidRDefault="00C271CD" w:rsidP="002D7811">
      <w:pPr>
        <w:ind w:right="-30"/>
      </w:pPr>
    </w:p>
    <w:sectPr w:rsidR="00C271CD" w:rsidRPr="00D01D37" w:rsidSect="00D01D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EA" w:rsidRDefault="00D45EEA" w:rsidP="006F6F93">
      <w:pPr>
        <w:spacing w:after="0" w:line="240" w:lineRule="auto"/>
      </w:pPr>
      <w:r>
        <w:separator/>
      </w:r>
    </w:p>
  </w:endnote>
  <w:endnote w:type="continuationSeparator" w:id="0">
    <w:p w:rsidR="00D45EEA" w:rsidRDefault="00D45EEA" w:rsidP="006F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EA" w:rsidRDefault="00D45EEA" w:rsidP="006F6F93">
      <w:pPr>
        <w:spacing w:after="0" w:line="240" w:lineRule="auto"/>
      </w:pPr>
      <w:r>
        <w:separator/>
      </w:r>
    </w:p>
  </w:footnote>
  <w:footnote w:type="continuationSeparator" w:id="0">
    <w:p w:rsidR="00D45EEA" w:rsidRDefault="00D45EEA" w:rsidP="006F6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7B27"/>
    <w:multiLevelType w:val="hybridMultilevel"/>
    <w:tmpl w:val="98FC89B0"/>
    <w:lvl w:ilvl="0" w:tplc="1BA28D3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37"/>
    <w:rsid w:val="0000716D"/>
    <w:rsid w:val="00010AFF"/>
    <w:rsid w:val="00026603"/>
    <w:rsid w:val="000746B9"/>
    <w:rsid w:val="000E18E5"/>
    <w:rsid w:val="00206ACF"/>
    <w:rsid w:val="00276893"/>
    <w:rsid w:val="002B024B"/>
    <w:rsid w:val="002C5023"/>
    <w:rsid w:val="002D7811"/>
    <w:rsid w:val="00361213"/>
    <w:rsid w:val="00386D3D"/>
    <w:rsid w:val="00396F14"/>
    <w:rsid w:val="003D3C8D"/>
    <w:rsid w:val="00424B00"/>
    <w:rsid w:val="00427EE7"/>
    <w:rsid w:val="0043192C"/>
    <w:rsid w:val="00506C8C"/>
    <w:rsid w:val="00585BFD"/>
    <w:rsid w:val="006B4935"/>
    <w:rsid w:val="006C2C3D"/>
    <w:rsid w:val="006D4C84"/>
    <w:rsid w:val="006F6F93"/>
    <w:rsid w:val="0072533A"/>
    <w:rsid w:val="00771ED9"/>
    <w:rsid w:val="00794BFF"/>
    <w:rsid w:val="007D138D"/>
    <w:rsid w:val="008679E2"/>
    <w:rsid w:val="00A06112"/>
    <w:rsid w:val="00A94543"/>
    <w:rsid w:val="00AE543D"/>
    <w:rsid w:val="00B06E11"/>
    <w:rsid w:val="00BC2E21"/>
    <w:rsid w:val="00C271CD"/>
    <w:rsid w:val="00CC595B"/>
    <w:rsid w:val="00CF544A"/>
    <w:rsid w:val="00D01D37"/>
    <w:rsid w:val="00D15F83"/>
    <w:rsid w:val="00D45EEA"/>
    <w:rsid w:val="00E64738"/>
    <w:rsid w:val="00EF162C"/>
    <w:rsid w:val="00F851C0"/>
    <w:rsid w:val="00FB1980"/>
    <w:rsid w:val="00F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1C8EE-D8DC-421F-9FE8-6121CB29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D37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71C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24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F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6F93"/>
  </w:style>
  <w:style w:type="paragraph" w:styleId="Zpat">
    <w:name w:val="footer"/>
    <w:basedOn w:val="Normln"/>
    <w:link w:val="ZpatChar"/>
    <w:uiPriority w:val="99"/>
    <w:unhideWhenUsed/>
    <w:rsid w:val="006F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3.xls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mailto:rattmanova@mesto-klimkovice.cz" TargetMode="Externa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4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657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Iveta Rattmanova</cp:lastModifiedBy>
  <cp:revision>27</cp:revision>
  <cp:lastPrinted>2019-12-02T07:16:00Z</cp:lastPrinted>
  <dcterms:created xsi:type="dcterms:W3CDTF">2019-11-21T15:47:00Z</dcterms:created>
  <dcterms:modified xsi:type="dcterms:W3CDTF">2019-12-02T07:20:00Z</dcterms:modified>
</cp:coreProperties>
</file>